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6BEAEC" w14:textId="3AA89C8E" w:rsidR="0087204F" w:rsidRPr="0087204F" w:rsidRDefault="0087204F">
      <w:pPr>
        <w:rPr>
          <w:rFonts w:ascii="Times New Roman" w:hAnsi="Times New Roman" w:cs="Times New Roman"/>
          <w:b/>
          <w:bCs/>
        </w:rPr>
      </w:pPr>
      <w:r w:rsidRPr="0087204F">
        <w:rPr>
          <w:rFonts w:ascii="Times New Roman" w:hAnsi="Times New Roman" w:cs="Times New Roman"/>
          <w:b/>
          <w:bCs/>
        </w:rPr>
        <w:t>Supplementary Table S1. Differential Abundant Genera Identified Among Groups</w:t>
      </w:r>
    </w:p>
    <w:tbl>
      <w:tblPr>
        <w:tblStyle w:val="111"/>
        <w:tblpPr w:leftFromText="180" w:rightFromText="180" w:vertAnchor="text" w:tblpY="180"/>
        <w:tblW w:w="0" w:type="auto"/>
        <w:tblLook w:val="04A0" w:firstRow="1" w:lastRow="0" w:firstColumn="1" w:lastColumn="0" w:noHBand="0" w:noVBand="1"/>
      </w:tblPr>
      <w:tblGrid>
        <w:gridCol w:w="1675"/>
        <w:gridCol w:w="1616"/>
        <w:gridCol w:w="1323"/>
        <w:gridCol w:w="935"/>
        <w:gridCol w:w="1150"/>
        <w:gridCol w:w="850"/>
        <w:gridCol w:w="757"/>
      </w:tblGrid>
      <w:tr w:rsidR="0087204F" w:rsidRPr="0087204F" w14:paraId="01B56614" w14:textId="77777777" w:rsidTr="008720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  <w:hideMark/>
          </w:tcPr>
          <w:p w14:paraId="767D7E1C" w14:textId="77777777" w:rsidR="0087204F" w:rsidRPr="0087204F" w:rsidRDefault="0087204F" w:rsidP="0087204F">
            <w:pPr>
              <w:rPr>
                <w:rFonts w:cs="Times New Roman"/>
                <w:b/>
                <w:bCs/>
              </w:rPr>
            </w:pPr>
            <w:r w:rsidRPr="0087204F">
              <w:rPr>
                <w:rFonts w:cs="Times New Roman"/>
                <w:b/>
                <w:bCs/>
              </w:rPr>
              <w:t>Genus</w:t>
            </w:r>
          </w:p>
        </w:tc>
        <w:tc>
          <w:tcPr>
            <w:tcW w:w="0" w:type="auto"/>
            <w:hideMark/>
          </w:tcPr>
          <w:p w14:paraId="475BF1DB" w14:textId="77777777" w:rsidR="0087204F" w:rsidRPr="0087204F" w:rsidRDefault="0087204F" w:rsidP="0087204F">
            <w:pPr>
              <w:rPr>
                <w:rFonts w:cs="Times New Roman"/>
                <w:b/>
                <w:bCs/>
              </w:rPr>
            </w:pPr>
            <w:r w:rsidRPr="0087204F">
              <w:rPr>
                <w:rFonts w:cs="Times New Roman"/>
                <w:b/>
                <w:bCs/>
              </w:rPr>
              <w:t>Healthy Control</w:t>
            </w:r>
          </w:p>
        </w:tc>
        <w:tc>
          <w:tcPr>
            <w:tcW w:w="0" w:type="auto"/>
            <w:hideMark/>
          </w:tcPr>
          <w:p w14:paraId="2D5A37CD" w14:textId="77777777" w:rsidR="0087204F" w:rsidRPr="0087204F" w:rsidRDefault="0087204F" w:rsidP="0087204F">
            <w:pPr>
              <w:rPr>
                <w:rFonts w:cs="Times New Roman"/>
                <w:b/>
                <w:bCs/>
              </w:rPr>
            </w:pPr>
            <w:r w:rsidRPr="0087204F">
              <w:rPr>
                <w:rFonts w:cs="Times New Roman"/>
                <w:b/>
                <w:bCs/>
              </w:rPr>
              <w:t>Benign GYN</w:t>
            </w:r>
          </w:p>
        </w:tc>
        <w:tc>
          <w:tcPr>
            <w:tcW w:w="0" w:type="auto"/>
            <w:hideMark/>
          </w:tcPr>
          <w:p w14:paraId="791B73C2" w14:textId="77777777" w:rsidR="0087204F" w:rsidRPr="0087204F" w:rsidRDefault="0087204F" w:rsidP="0087204F">
            <w:pPr>
              <w:rPr>
                <w:rFonts w:cs="Times New Roman"/>
                <w:b/>
                <w:bCs/>
              </w:rPr>
            </w:pPr>
            <w:r w:rsidRPr="0087204F">
              <w:rPr>
                <w:rFonts w:cs="Times New Roman"/>
                <w:b/>
                <w:bCs/>
              </w:rPr>
              <w:t>EM I–II</w:t>
            </w:r>
          </w:p>
        </w:tc>
        <w:tc>
          <w:tcPr>
            <w:tcW w:w="0" w:type="auto"/>
            <w:hideMark/>
          </w:tcPr>
          <w:p w14:paraId="2D34D3D6" w14:textId="77777777" w:rsidR="0087204F" w:rsidRPr="0087204F" w:rsidRDefault="0087204F" w:rsidP="0087204F">
            <w:pPr>
              <w:rPr>
                <w:rFonts w:cs="Times New Roman"/>
                <w:b/>
                <w:bCs/>
              </w:rPr>
            </w:pPr>
            <w:r w:rsidRPr="0087204F">
              <w:rPr>
                <w:rFonts w:cs="Times New Roman"/>
                <w:b/>
                <w:bCs/>
              </w:rPr>
              <w:t>EM III–IV</w:t>
            </w:r>
          </w:p>
        </w:tc>
        <w:tc>
          <w:tcPr>
            <w:tcW w:w="0" w:type="auto"/>
            <w:hideMark/>
          </w:tcPr>
          <w:p w14:paraId="5EAF840B" w14:textId="77777777" w:rsidR="0087204F" w:rsidRPr="0087204F" w:rsidRDefault="0087204F" w:rsidP="0087204F">
            <w:pPr>
              <w:rPr>
                <w:rFonts w:cs="Times New Roman"/>
                <w:b/>
                <w:bCs/>
              </w:rPr>
            </w:pPr>
            <w:r w:rsidRPr="0087204F">
              <w:rPr>
                <w:rFonts w:cs="Times New Roman"/>
                <w:b/>
                <w:bCs/>
              </w:rPr>
              <w:t>q value</w:t>
            </w:r>
          </w:p>
        </w:tc>
        <w:tc>
          <w:tcPr>
            <w:tcW w:w="0" w:type="auto"/>
            <w:hideMark/>
          </w:tcPr>
          <w:p w14:paraId="0E6988E5" w14:textId="77777777" w:rsidR="0087204F" w:rsidRPr="0087204F" w:rsidRDefault="0087204F" w:rsidP="0087204F">
            <w:pPr>
              <w:rPr>
                <w:rFonts w:cs="Times New Roman"/>
                <w:b/>
                <w:bCs/>
              </w:rPr>
            </w:pPr>
            <w:r w:rsidRPr="0087204F">
              <w:rPr>
                <w:rFonts w:cs="Times New Roman"/>
                <w:b/>
                <w:bCs/>
              </w:rPr>
              <w:t>Trend</w:t>
            </w:r>
          </w:p>
        </w:tc>
      </w:tr>
      <w:tr w:rsidR="0087204F" w:rsidRPr="0087204F" w14:paraId="03FAA20A" w14:textId="77777777" w:rsidTr="0087204F">
        <w:tc>
          <w:tcPr>
            <w:tcW w:w="0" w:type="auto"/>
            <w:hideMark/>
          </w:tcPr>
          <w:p w14:paraId="2719B92D" w14:textId="77777777" w:rsidR="0087204F" w:rsidRPr="0073417A" w:rsidRDefault="0087204F" w:rsidP="0087204F">
            <w:pPr>
              <w:rPr>
                <w:rFonts w:cs="Times New Roman"/>
                <w:i/>
                <w:iCs/>
              </w:rPr>
            </w:pPr>
            <w:proofErr w:type="spellStart"/>
            <w:r w:rsidRPr="0073417A">
              <w:rPr>
                <w:rFonts w:cs="Times New Roman"/>
                <w:i/>
                <w:iCs/>
              </w:rPr>
              <w:t>Prevotella</w:t>
            </w:r>
            <w:proofErr w:type="spellEnd"/>
          </w:p>
        </w:tc>
        <w:tc>
          <w:tcPr>
            <w:tcW w:w="0" w:type="auto"/>
            <w:hideMark/>
          </w:tcPr>
          <w:p w14:paraId="20E1B7C3" w14:textId="77777777" w:rsidR="0087204F" w:rsidRPr="0087204F" w:rsidRDefault="0087204F" w:rsidP="0087204F">
            <w:pPr>
              <w:rPr>
                <w:rFonts w:cs="Times New Roman"/>
              </w:rPr>
            </w:pPr>
            <w:r w:rsidRPr="0087204F">
              <w:rPr>
                <w:rFonts w:cs="Times New Roman"/>
              </w:rPr>
              <w:t>0.042</w:t>
            </w:r>
          </w:p>
        </w:tc>
        <w:tc>
          <w:tcPr>
            <w:tcW w:w="0" w:type="auto"/>
            <w:hideMark/>
          </w:tcPr>
          <w:p w14:paraId="0E53781A" w14:textId="77777777" w:rsidR="0087204F" w:rsidRPr="0087204F" w:rsidRDefault="0087204F" w:rsidP="0087204F">
            <w:pPr>
              <w:rPr>
                <w:rFonts w:cs="Times New Roman"/>
              </w:rPr>
            </w:pPr>
            <w:r w:rsidRPr="0087204F">
              <w:rPr>
                <w:rFonts w:cs="Times New Roman"/>
              </w:rPr>
              <w:t>0.048</w:t>
            </w:r>
          </w:p>
        </w:tc>
        <w:tc>
          <w:tcPr>
            <w:tcW w:w="0" w:type="auto"/>
            <w:hideMark/>
          </w:tcPr>
          <w:p w14:paraId="33334321" w14:textId="77777777" w:rsidR="0087204F" w:rsidRPr="0087204F" w:rsidRDefault="0087204F" w:rsidP="0087204F">
            <w:pPr>
              <w:rPr>
                <w:rFonts w:cs="Times New Roman"/>
              </w:rPr>
            </w:pPr>
            <w:r w:rsidRPr="0087204F">
              <w:rPr>
                <w:rFonts w:cs="Times New Roman"/>
              </w:rPr>
              <w:t>0.057</w:t>
            </w:r>
          </w:p>
        </w:tc>
        <w:tc>
          <w:tcPr>
            <w:tcW w:w="0" w:type="auto"/>
            <w:hideMark/>
          </w:tcPr>
          <w:p w14:paraId="50A31FFB" w14:textId="77777777" w:rsidR="0087204F" w:rsidRPr="0087204F" w:rsidRDefault="0087204F" w:rsidP="0087204F">
            <w:pPr>
              <w:rPr>
                <w:rFonts w:cs="Times New Roman"/>
              </w:rPr>
            </w:pPr>
            <w:r w:rsidRPr="0087204F">
              <w:rPr>
                <w:rFonts w:cs="Times New Roman"/>
              </w:rPr>
              <w:t>0.064</w:t>
            </w:r>
          </w:p>
        </w:tc>
        <w:tc>
          <w:tcPr>
            <w:tcW w:w="0" w:type="auto"/>
            <w:hideMark/>
          </w:tcPr>
          <w:p w14:paraId="1D0EB59B" w14:textId="77777777" w:rsidR="0087204F" w:rsidRPr="0087204F" w:rsidRDefault="0087204F" w:rsidP="0087204F">
            <w:pPr>
              <w:rPr>
                <w:rFonts w:cs="Times New Roman"/>
              </w:rPr>
            </w:pPr>
            <w:r w:rsidRPr="0087204F">
              <w:rPr>
                <w:rFonts w:cs="Times New Roman"/>
              </w:rPr>
              <w:t>0.013</w:t>
            </w:r>
          </w:p>
        </w:tc>
        <w:tc>
          <w:tcPr>
            <w:tcW w:w="0" w:type="auto"/>
            <w:hideMark/>
          </w:tcPr>
          <w:p w14:paraId="5859B17B" w14:textId="77777777" w:rsidR="0087204F" w:rsidRPr="0087204F" w:rsidRDefault="0087204F" w:rsidP="0087204F">
            <w:pPr>
              <w:rPr>
                <w:rFonts w:cs="Times New Roman"/>
              </w:rPr>
            </w:pPr>
            <w:r w:rsidRPr="0087204F">
              <w:rPr>
                <w:rFonts w:cs="Times New Roman"/>
              </w:rPr>
              <w:t>↑</w:t>
            </w:r>
          </w:p>
        </w:tc>
      </w:tr>
      <w:tr w:rsidR="0087204F" w:rsidRPr="0087204F" w14:paraId="76FBC5EF" w14:textId="77777777" w:rsidTr="0087204F">
        <w:tc>
          <w:tcPr>
            <w:tcW w:w="0" w:type="auto"/>
            <w:hideMark/>
          </w:tcPr>
          <w:p w14:paraId="412711C1" w14:textId="77777777" w:rsidR="0087204F" w:rsidRPr="0073417A" w:rsidRDefault="0087204F" w:rsidP="0087204F">
            <w:pPr>
              <w:rPr>
                <w:rFonts w:cs="Times New Roman"/>
                <w:i/>
                <w:iCs/>
              </w:rPr>
            </w:pPr>
            <w:proofErr w:type="spellStart"/>
            <w:r w:rsidRPr="0073417A">
              <w:rPr>
                <w:rFonts w:cs="Times New Roman"/>
                <w:i/>
                <w:iCs/>
              </w:rPr>
              <w:t>Blautia</w:t>
            </w:r>
            <w:proofErr w:type="spellEnd"/>
          </w:p>
        </w:tc>
        <w:tc>
          <w:tcPr>
            <w:tcW w:w="0" w:type="auto"/>
            <w:hideMark/>
          </w:tcPr>
          <w:p w14:paraId="12E0F4D4" w14:textId="77777777" w:rsidR="0087204F" w:rsidRPr="0087204F" w:rsidRDefault="0087204F" w:rsidP="0087204F">
            <w:pPr>
              <w:rPr>
                <w:rFonts w:cs="Times New Roman"/>
              </w:rPr>
            </w:pPr>
            <w:r w:rsidRPr="0087204F">
              <w:rPr>
                <w:rFonts w:cs="Times New Roman"/>
              </w:rPr>
              <w:t>0.065</w:t>
            </w:r>
          </w:p>
        </w:tc>
        <w:tc>
          <w:tcPr>
            <w:tcW w:w="0" w:type="auto"/>
            <w:hideMark/>
          </w:tcPr>
          <w:p w14:paraId="5B1D2914" w14:textId="77777777" w:rsidR="0087204F" w:rsidRPr="0087204F" w:rsidRDefault="0087204F" w:rsidP="0087204F">
            <w:pPr>
              <w:rPr>
                <w:rFonts w:cs="Times New Roman"/>
              </w:rPr>
            </w:pPr>
            <w:r w:rsidRPr="0087204F">
              <w:rPr>
                <w:rFonts w:cs="Times New Roman"/>
              </w:rPr>
              <w:t>0.058</w:t>
            </w:r>
          </w:p>
        </w:tc>
        <w:tc>
          <w:tcPr>
            <w:tcW w:w="0" w:type="auto"/>
            <w:hideMark/>
          </w:tcPr>
          <w:p w14:paraId="08BDC9B9" w14:textId="77777777" w:rsidR="0087204F" w:rsidRPr="0087204F" w:rsidRDefault="0087204F" w:rsidP="0087204F">
            <w:pPr>
              <w:rPr>
                <w:rFonts w:cs="Times New Roman"/>
              </w:rPr>
            </w:pPr>
            <w:r w:rsidRPr="0087204F">
              <w:rPr>
                <w:rFonts w:cs="Times New Roman"/>
              </w:rPr>
              <w:t>0.045</w:t>
            </w:r>
          </w:p>
        </w:tc>
        <w:tc>
          <w:tcPr>
            <w:tcW w:w="0" w:type="auto"/>
            <w:hideMark/>
          </w:tcPr>
          <w:p w14:paraId="73F06F6F" w14:textId="77777777" w:rsidR="0087204F" w:rsidRPr="0087204F" w:rsidRDefault="0087204F" w:rsidP="0087204F">
            <w:pPr>
              <w:rPr>
                <w:rFonts w:cs="Times New Roman"/>
              </w:rPr>
            </w:pPr>
            <w:r w:rsidRPr="0087204F">
              <w:rPr>
                <w:rFonts w:cs="Times New Roman"/>
              </w:rPr>
              <w:t>0.032</w:t>
            </w:r>
          </w:p>
        </w:tc>
        <w:tc>
          <w:tcPr>
            <w:tcW w:w="0" w:type="auto"/>
            <w:hideMark/>
          </w:tcPr>
          <w:p w14:paraId="69EFDC20" w14:textId="77777777" w:rsidR="0087204F" w:rsidRPr="0087204F" w:rsidRDefault="0087204F" w:rsidP="0087204F">
            <w:pPr>
              <w:rPr>
                <w:rFonts w:cs="Times New Roman"/>
              </w:rPr>
            </w:pPr>
            <w:r w:rsidRPr="0087204F">
              <w:rPr>
                <w:rFonts w:cs="Times New Roman"/>
              </w:rPr>
              <w:t>0.021</w:t>
            </w:r>
          </w:p>
        </w:tc>
        <w:tc>
          <w:tcPr>
            <w:tcW w:w="0" w:type="auto"/>
            <w:hideMark/>
          </w:tcPr>
          <w:p w14:paraId="31DC998F" w14:textId="77777777" w:rsidR="0087204F" w:rsidRPr="0087204F" w:rsidRDefault="0087204F" w:rsidP="0087204F">
            <w:pPr>
              <w:rPr>
                <w:rFonts w:cs="Times New Roman"/>
              </w:rPr>
            </w:pPr>
            <w:r w:rsidRPr="0087204F">
              <w:rPr>
                <w:rFonts w:cs="Times New Roman"/>
              </w:rPr>
              <w:t>↓</w:t>
            </w:r>
          </w:p>
        </w:tc>
      </w:tr>
      <w:tr w:rsidR="0087204F" w:rsidRPr="0087204F" w14:paraId="74A8578E" w14:textId="77777777" w:rsidTr="0087204F">
        <w:tc>
          <w:tcPr>
            <w:tcW w:w="0" w:type="auto"/>
            <w:hideMark/>
          </w:tcPr>
          <w:p w14:paraId="33E54A80" w14:textId="77777777" w:rsidR="0087204F" w:rsidRPr="0073417A" w:rsidRDefault="0087204F" w:rsidP="0087204F">
            <w:pPr>
              <w:rPr>
                <w:rFonts w:cs="Times New Roman"/>
                <w:i/>
                <w:iCs/>
              </w:rPr>
            </w:pPr>
            <w:proofErr w:type="spellStart"/>
            <w:r w:rsidRPr="0073417A">
              <w:rPr>
                <w:rFonts w:cs="Times New Roman"/>
                <w:i/>
                <w:iCs/>
              </w:rPr>
              <w:t>Subdoligranulum</w:t>
            </w:r>
            <w:proofErr w:type="spellEnd"/>
          </w:p>
        </w:tc>
        <w:tc>
          <w:tcPr>
            <w:tcW w:w="0" w:type="auto"/>
            <w:hideMark/>
          </w:tcPr>
          <w:p w14:paraId="7E67E0E5" w14:textId="77777777" w:rsidR="0087204F" w:rsidRPr="0087204F" w:rsidRDefault="0087204F" w:rsidP="0087204F">
            <w:pPr>
              <w:rPr>
                <w:rFonts w:cs="Times New Roman"/>
              </w:rPr>
            </w:pPr>
            <w:r w:rsidRPr="0087204F">
              <w:rPr>
                <w:rFonts w:cs="Times New Roman"/>
              </w:rPr>
              <w:t>0.054</w:t>
            </w:r>
          </w:p>
        </w:tc>
        <w:tc>
          <w:tcPr>
            <w:tcW w:w="0" w:type="auto"/>
            <w:hideMark/>
          </w:tcPr>
          <w:p w14:paraId="722BAD92" w14:textId="77777777" w:rsidR="0087204F" w:rsidRPr="0087204F" w:rsidRDefault="0087204F" w:rsidP="0087204F">
            <w:pPr>
              <w:rPr>
                <w:rFonts w:cs="Times New Roman"/>
              </w:rPr>
            </w:pPr>
            <w:r w:rsidRPr="0087204F">
              <w:rPr>
                <w:rFonts w:cs="Times New Roman"/>
              </w:rPr>
              <w:t>0.049</w:t>
            </w:r>
          </w:p>
        </w:tc>
        <w:tc>
          <w:tcPr>
            <w:tcW w:w="0" w:type="auto"/>
            <w:hideMark/>
          </w:tcPr>
          <w:p w14:paraId="10AEA7F6" w14:textId="77777777" w:rsidR="0087204F" w:rsidRPr="0087204F" w:rsidRDefault="0087204F" w:rsidP="0087204F">
            <w:pPr>
              <w:rPr>
                <w:rFonts w:cs="Times New Roman"/>
              </w:rPr>
            </w:pPr>
            <w:r w:rsidRPr="0087204F">
              <w:rPr>
                <w:rFonts w:cs="Times New Roman"/>
              </w:rPr>
              <w:t>0.039</w:t>
            </w:r>
          </w:p>
        </w:tc>
        <w:tc>
          <w:tcPr>
            <w:tcW w:w="0" w:type="auto"/>
            <w:hideMark/>
          </w:tcPr>
          <w:p w14:paraId="176E4DD4" w14:textId="77777777" w:rsidR="0087204F" w:rsidRPr="0087204F" w:rsidRDefault="0087204F" w:rsidP="0087204F">
            <w:pPr>
              <w:rPr>
                <w:rFonts w:cs="Times New Roman"/>
              </w:rPr>
            </w:pPr>
            <w:r w:rsidRPr="0087204F">
              <w:rPr>
                <w:rFonts w:cs="Times New Roman"/>
              </w:rPr>
              <w:t>0.030</w:t>
            </w:r>
          </w:p>
        </w:tc>
        <w:tc>
          <w:tcPr>
            <w:tcW w:w="0" w:type="auto"/>
            <w:hideMark/>
          </w:tcPr>
          <w:p w14:paraId="7DAC8019" w14:textId="77777777" w:rsidR="0087204F" w:rsidRPr="0087204F" w:rsidRDefault="0087204F" w:rsidP="0087204F">
            <w:pPr>
              <w:rPr>
                <w:rFonts w:cs="Times New Roman"/>
              </w:rPr>
            </w:pPr>
            <w:r w:rsidRPr="0087204F">
              <w:rPr>
                <w:rFonts w:cs="Times New Roman"/>
              </w:rPr>
              <w:t>0.026</w:t>
            </w:r>
          </w:p>
        </w:tc>
        <w:tc>
          <w:tcPr>
            <w:tcW w:w="0" w:type="auto"/>
            <w:hideMark/>
          </w:tcPr>
          <w:p w14:paraId="5DBB473A" w14:textId="77777777" w:rsidR="0087204F" w:rsidRPr="0087204F" w:rsidRDefault="0087204F" w:rsidP="0087204F">
            <w:pPr>
              <w:rPr>
                <w:rFonts w:cs="Times New Roman"/>
              </w:rPr>
            </w:pPr>
            <w:r w:rsidRPr="0087204F">
              <w:rPr>
                <w:rFonts w:cs="Times New Roman"/>
              </w:rPr>
              <w:t>↓</w:t>
            </w:r>
          </w:p>
        </w:tc>
      </w:tr>
      <w:tr w:rsidR="0087204F" w:rsidRPr="0087204F" w14:paraId="49C8666B" w14:textId="77777777" w:rsidTr="0087204F">
        <w:tc>
          <w:tcPr>
            <w:tcW w:w="0" w:type="auto"/>
            <w:hideMark/>
          </w:tcPr>
          <w:p w14:paraId="7933DA78" w14:textId="77777777" w:rsidR="0087204F" w:rsidRPr="0073417A" w:rsidRDefault="0087204F" w:rsidP="0087204F">
            <w:pPr>
              <w:rPr>
                <w:rFonts w:cs="Times New Roman"/>
                <w:i/>
                <w:iCs/>
              </w:rPr>
            </w:pPr>
            <w:proofErr w:type="spellStart"/>
            <w:r w:rsidRPr="0073417A">
              <w:rPr>
                <w:rFonts w:cs="Times New Roman"/>
                <w:i/>
                <w:iCs/>
              </w:rPr>
              <w:t>Ruminococcus</w:t>
            </w:r>
            <w:proofErr w:type="spellEnd"/>
          </w:p>
        </w:tc>
        <w:tc>
          <w:tcPr>
            <w:tcW w:w="0" w:type="auto"/>
            <w:hideMark/>
          </w:tcPr>
          <w:p w14:paraId="55511F69" w14:textId="77777777" w:rsidR="0087204F" w:rsidRPr="0087204F" w:rsidRDefault="0087204F" w:rsidP="0087204F">
            <w:pPr>
              <w:rPr>
                <w:rFonts w:cs="Times New Roman"/>
              </w:rPr>
            </w:pPr>
            <w:r w:rsidRPr="0087204F">
              <w:rPr>
                <w:rFonts w:cs="Times New Roman"/>
              </w:rPr>
              <w:t>0.059</w:t>
            </w:r>
          </w:p>
        </w:tc>
        <w:tc>
          <w:tcPr>
            <w:tcW w:w="0" w:type="auto"/>
            <w:hideMark/>
          </w:tcPr>
          <w:p w14:paraId="242ED5B0" w14:textId="77777777" w:rsidR="0087204F" w:rsidRPr="0087204F" w:rsidRDefault="0087204F" w:rsidP="0087204F">
            <w:pPr>
              <w:rPr>
                <w:rFonts w:cs="Times New Roman"/>
              </w:rPr>
            </w:pPr>
            <w:r w:rsidRPr="0087204F">
              <w:rPr>
                <w:rFonts w:cs="Times New Roman"/>
              </w:rPr>
              <w:t>0.052</w:t>
            </w:r>
          </w:p>
        </w:tc>
        <w:tc>
          <w:tcPr>
            <w:tcW w:w="0" w:type="auto"/>
            <w:hideMark/>
          </w:tcPr>
          <w:p w14:paraId="33C892E9" w14:textId="77777777" w:rsidR="0087204F" w:rsidRPr="0087204F" w:rsidRDefault="0087204F" w:rsidP="0087204F">
            <w:pPr>
              <w:rPr>
                <w:rFonts w:cs="Times New Roman"/>
              </w:rPr>
            </w:pPr>
            <w:r w:rsidRPr="0087204F">
              <w:rPr>
                <w:rFonts w:cs="Times New Roman"/>
              </w:rPr>
              <w:t>0.041</w:t>
            </w:r>
          </w:p>
        </w:tc>
        <w:tc>
          <w:tcPr>
            <w:tcW w:w="0" w:type="auto"/>
            <w:hideMark/>
          </w:tcPr>
          <w:p w14:paraId="30B8C38C" w14:textId="77777777" w:rsidR="0087204F" w:rsidRPr="0087204F" w:rsidRDefault="0087204F" w:rsidP="0087204F">
            <w:pPr>
              <w:rPr>
                <w:rFonts w:cs="Times New Roman"/>
              </w:rPr>
            </w:pPr>
            <w:r w:rsidRPr="0087204F">
              <w:rPr>
                <w:rFonts w:cs="Times New Roman"/>
              </w:rPr>
              <w:t>0.036</w:t>
            </w:r>
          </w:p>
        </w:tc>
        <w:tc>
          <w:tcPr>
            <w:tcW w:w="0" w:type="auto"/>
            <w:hideMark/>
          </w:tcPr>
          <w:p w14:paraId="3B328F9A" w14:textId="77777777" w:rsidR="0087204F" w:rsidRPr="0087204F" w:rsidRDefault="0087204F" w:rsidP="0087204F">
            <w:pPr>
              <w:rPr>
                <w:rFonts w:cs="Times New Roman"/>
              </w:rPr>
            </w:pPr>
            <w:r w:rsidRPr="0087204F">
              <w:rPr>
                <w:rFonts w:cs="Times New Roman"/>
              </w:rPr>
              <w:t>0.030</w:t>
            </w:r>
          </w:p>
        </w:tc>
        <w:tc>
          <w:tcPr>
            <w:tcW w:w="0" w:type="auto"/>
            <w:hideMark/>
          </w:tcPr>
          <w:p w14:paraId="1DBBD433" w14:textId="77777777" w:rsidR="0087204F" w:rsidRPr="0087204F" w:rsidRDefault="0087204F" w:rsidP="0087204F">
            <w:pPr>
              <w:rPr>
                <w:rFonts w:cs="Times New Roman"/>
              </w:rPr>
            </w:pPr>
            <w:r w:rsidRPr="0087204F">
              <w:rPr>
                <w:rFonts w:cs="Times New Roman"/>
              </w:rPr>
              <w:t>↓</w:t>
            </w:r>
          </w:p>
        </w:tc>
      </w:tr>
      <w:tr w:rsidR="0087204F" w:rsidRPr="0087204F" w14:paraId="3F0FDF5B" w14:textId="77777777" w:rsidTr="0087204F">
        <w:tc>
          <w:tcPr>
            <w:tcW w:w="0" w:type="auto"/>
            <w:hideMark/>
          </w:tcPr>
          <w:p w14:paraId="280DF210" w14:textId="77777777" w:rsidR="0087204F" w:rsidRPr="0073417A" w:rsidRDefault="0087204F" w:rsidP="0087204F">
            <w:pPr>
              <w:rPr>
                <w:rFonts w:cs="Times New Roman"/>
                <w:i/>
                <w:iCs/>
              </w:rPr>
            </w:pPr>
            <w:r w:rsidRPr="0073417A">
              <w:rPr>
                <w:rFonts w:cs="Times New Roman"/>
                <w:i/>
                <w:iCs/>
              </w:rPr>
              <w:t>Bacteroides</w:t>
            </w:r>
          </w:p>
        </w:tc>
        <w:tc>
          <w:tcPr>
            <w:tcW w:w="0" w:type="auto"/>
            <w:hideMark/>
          </w:tcPr>
          <w:p w14:paraId="3A0C0576" w14:textId="77777777" w:rsidR="0087204F" w:rsidRPr="0087204F" w:rsidRDefault="0087204F" w:rsidP="0087204F">
            <w:pPr>
              <w:rPr>
                <w:rFonts w:cs="Times New Roman"/>
              </w:rPr>
            </w:pPr>
            <w:r w:rsidRPr="0087204F">
              <w:rPr>
                <w:rFonts w:cs="Times New Roman"/>
              </w:rPr>
              <w:t>0.061</w:t>
            </w:r>
          </w:p>
        </w:tc>
        <w:tc>
          <w:tcPr>
            <w:tcW w:w="0" w:type="auto"/>
            <w:hideMark/>
          </w:tcPr>
          <w:p w14:paraId="7A3A5BCD" w14:textId="77777777" w:rsidR="0087204F" w:rsidRPr="0087204F" w:rsidRDefault="0087204F" w:rsidP="0087204F">
            <w:pPr>
              <w:rPr>
                <w:rFonts w:cs="Times New Roman"/>
              </w:rPr>
            </w:pPr>
            <w:r w:rsidRPr="0087204F">
              <w:rPr>
                <w:rFonts w:cs="Times New Roman"/>
              </w:rPr>
              <w:t>0.058</w:t>
            </w:r>
          </w:p>
        </w:tc>
        <w:tc>
          <w:tcPr>
            <w:tcW w:w="0" w:type="auto"/>
            <w:hideMark/>
          </w:tcPr>
          <w:p w14:paraId="2BE0C2CE" w14:textId="77777777" w:rsidR="0087204F" w:rsidRPr="0087204F" w:rsidRDefault="0087204F" w:rsidP="0087204F">
            <w:pPr>
              <w:rPr>
                <w:rFonts w:cs="Times New Roman"/>
              </w:rPr>
            </w:pPr>
            <w:r w:rsidRPr="0087204F">
              <w:rPr>
                <w:rFonts w:cs="Times New Roman"/>
              </w:rPr>
              <w:t>0.056</w:t>
            </w:r>
          </w:p>
        </w:tc>
        <w:tc>
          <w:tcPr>
            <w:tcW w:w="0" w:type="auto"/>
            <w:hideMark/>
          </w:tcPr>
          <w:p w14:paraId="689E3213" w14:textId="77777777" w:rsidR="0087204F" w:rsidRPr="0087204F" w:rsidRDefault="0087204F" w:rsidP="0087204F">
            <w:pPr>
              <w:rPr>
                <w:rFonts w:cs="Times New Roman"/>
              </w:rPr>
            </w:pPr>
            <w:r w:rsidRPr="0087204F">
              <w:rPr>
                <w:rFonts w:cs="Times New Roman"/>
              </w:rPr>
              <w:t>0.054</w:t>
            </w:r>
          </w:p>
        </w:tc>
        <w:tc>
          <w:tcPr>
            <w:tcW w:w="0" w:type="auto"/>
            <w:hideMark/>
          </w:tcPr>
          <w:p w14:paraId="17F3E98F" w14:textId="77777777" w:rsidR="0087204F" w:rsidRPr="0087204F" w:rsidRDefault="0087204F" w:rsidP="0087204F">
            <w:pPr>
              <w:rPr>
                <w:rFonts w:cs="Times New Roman"/>
              </w:rPr>
            </w:pPr>
            <w:r w:rsidRPr="0087204F">
              <w:rPr>
                <w:rFonts w:cs="Times New Roman"/>
              </w:rPr>
              <w:t>0.057</w:t>
            </w:r>
          </w:p>
        </w:tc>
        <w:tc>
          <w:tcPr>
            <w:tcW w:w="0" w:type="auto"/>
            <w:hideMark/>
          </w:tcPr>
          <w:p w14:paraId="0353C096" w14:textId="77777777" w:rsidR="0087204F" w:rsidRPr="0087204F" w:rsidRDefault="0087204F" w:rsidP="0087204F">
            <w:pPr>
              <w:rPr>
                <w:rFonts w:cs="Times New Roman"/>
              </w:rPr>
            </w:pPr>
            <w:r w:rsidRPr="0087204F">
              <w:rPr>
                <w:rFonts w:cs="Times New Roman"/>
              </w:rPr>
              <w:t>↓</w:t>
            </w:r>
          </w:p>
        </w:tc>
      </w:tr>
    </w:tbl>
    <w:p w14:paraId="00488BE1" w14:textId="77777777" w:rsidR="0087204F" w:rsidRPr="0087204F" w:rsidRDefault="0087204F" w:rsidP="0087204F">
      <w:pPr>
        <w:rPr>
          <w:rFonts w:ascii="Times New Roman" w:hAnsi="Times New Roman" w:cs="Times New Roman"/>
        </w:rPr>
      </w:pPr>
      <w:r w:rsidRPr="0087204F">
        <w:rPr>
          <w:rFonts w:ascii="Times New Roman" w:hAnsi="Times New Roman" w:cs="Times New Roman"/>
        </w:rPr>
        <w:t>This table presents genus-level taxa whose relative abundances differed significantly among the four participant groups: healthy controls, patients with benign gynecologic conditions, early-stage endometriosis (stage I–II), and advanced-stage endometriosis (stage III–IV). Data are shown as mean relative abundance per group. Statistical comparisons were performed using the Kruskal–</w:t>
      </w:r>
      <w:proofErr w:type="gramStart"/>
      <w:r w:rsidRPr="0087204F">
        <w:rPr>
          <w:rFonts w:ascii="Times New Roman" w:hAnsi="Times New Roman" w:cs="Times New Roman"/>
        </w:rPr>
        <w:t>Wallis</w:t>
      </w:r>
      <w:proofErr w:type="gramEnd"/>
      <w:r w:rsidRPr="0087204F">
        <w:rPr>
          <w:rFonts w:ascii="Times New Roman" w:hAnsi="Times New Roman" w:cs="Times New Roman"/>
        </w:rPr>
        <w:t xml:space="preserve"> test followed by Benjamini–Hochberg false discovery rate (FDR) correction. Only genera with q values &lt; 0.06 are included. Arrows indicate the overall direction of abundance change with increasing disease severity.</w:t>
      </w:r>
    </w:p>
    <w:p w14:paraId="7AD1AE47" w14:textId="77777777" w:rsidR="00785ACF" w:rsidRPr="0087204F" w:rsidRDefault="00785ACF">
      <w:pPr>
        <w:rPr>
          <w:rFonts w:ascii="Times New Roman" w:hAnsi="Times New Roman" w:cs="Times New Roman"/>
        </w:rPr>
      </w:pPr>
    </w:p>
    <w:sectPr w:rsidR="00785ACF" w:rsidRPr="008720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6CF1A0" w14:textId="77777777" w:rsidR="00AF4573" w:rsidRDefault="00AF4573" w:rsidP="0087204F">
      <w:pPr>
        <w:rPr>
          <w:rFonts w:hint="eastAsia"/>
        </w:rPr>
      </w:pPr>
      <w:r>
        <w:separator/>
      </w:r>
    </w:p>
  </w:endnote>
  <w:endnote w:type="continuationSeparator" w:id="0">
    <w:p w14:paraId="3D855102" w14:textId="77777777" w:rsidR="00AF4573" w:rsidRDefault="00AF4573" w:rsidP="0087204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77B2EC" w14:textId="77777777" w:rsidR="00AF4573" w:rsidRDefault="00AF4573" w:rsidP="0087204F">
      <w:pPr>
        <w:rPr>
          <w:rFonts w:hint="eastAsia"/>
        </w:rPr>
      </w:pPr>
      <w:r>
        <w:separator/>
      </w:r>
    </w:p>
  </w:footnote>
  <w:footnote w:type="continuationSeparator" w:id="0">
    <w:p w14:paraId="25591996" w14:textId="77777777" w:rsidR="00AF4573" w:rsidRDefault="00AF4573" w:rsidP="0087204F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3C2"/>
    <w:rsid w:val="001703C2"/>
    <w:rsid w:val="004272A1"/>
    <w:rsid w:val="0073417A"/>
    <w:rsid w:val="00785ACF"/>
    <w:rsid w:val="0087204F"/>
    <w:rsid w:val="008A404F"/>
    <w:rsid w:val="00A83572"/>
    <w:rsid w:val="00AF4573"/>
    <w:rsid w:val="00BB580F"/>
    <w:rsid w:val="00C750BD"/>
    <w:rsid w:val="00D26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EF88DFC"/>
  <w15:chartTrackingRefBased/>
  <w15:docId w15:val="{6453FF54-32CF-4C18-9302-4F1FA3D8F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703C2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703C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703C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703C2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703C2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703C2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703C2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703C2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703C2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1">
    <w:name w:val="111"/>
    <w:basedOn w:val="a1"/>
    <w:uiPriority w:val="99"/>
    <w:rsid w:val="00A83572"/>
    <w:rPr>
      <w:rFonts w:ascii="Times New Roman" w:hAnsi="Times New Roman"/>
    </w:rPr>
    <w:tblPr>
      <w:tblBorders>
        <w:top w:val="single" w:sz="12" w:space="0" w:color="auto"/>
        <w:bottom w:val="single" w:sz="12" w:space="0" w:color="auto"/>
      </w:tblBorders>
    </w:tblPr>
    <w:tblStylePr w:type="firstRow">
      <w:tblPr/>
      <w:tcPr>
        <w:tcBorders>
          <w:top w:val="single" w:sz="12" w:space="0" w:color="auto"/>
          <w:left w:val="nil"/>
          <w:bottom w:val="single" w:sz="6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10">
    <w:name w:val="标题 1 字符"/>
    <w:basedOn w:val="a0"/>
    <w:link w:val="1"/>
    <w:uiPriority w:val="9"/>
    <w:rsid w:val="001703C2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1703C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1703C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1703C2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1703C2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1703C2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1703C2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1703C2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1703C2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1703C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1703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703C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1703C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703C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1703C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703C2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1703C2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1703C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1703C2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1703C2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87204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87204F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8720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87204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6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834</Characters>
  <Application>Microsoft Office Word</Application>
  <DocSecurity>0</DocSecurity>
  <Lines>55</Lines>
  <Paragraphs>51</Paragraphs>
  <ScaleCrop>false</ScaleCrop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 Fei</dc:creator>
  <cp:keywords/>
  <dc:description/>
  <cp:lastModifiedBy>Huang K</cp:lastModifiedBy>
  <cp:revision>3</cp:revision>
  <dcterms:created xsi:type="dcterms:W3CDTF">2025-07-31T14:58:00Z</dcterms:created>
  <dcterms:modified xsi:type="dcterms:W3CDTF">2025-09-28T02:38:00Z</dcterms:modified>
</cp:coreProperties>
</file>